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015C" w14:textId="5FB4D574" w:rsidR="00796909" w:rsidRPr="00796909" w:rsidRDefault="00796909" w:rsidP="00796909">
      <w:pPr>
        <w:jc w:val="center"/>
        <w:rPr>
          <w:b/>
          <w:bCs/>
        </w:rPr>
      </w:pPr>
      <w:r w:rsidRPr="56399C74">
        <w:rPr>
          <w:b/>
          <w:bCs/>
        </w:rPr>
        <w:t xml:space="preserve">CURSO: </w:t>
      </w:r>
      <w:r w:rsidR="00B54A9B">
        <w:rPr>
          <w:b/>
          <w:bCs/>
        </w:rPr>
        <w:t>4</w:t>
      </w:r>
      <w:r w:rsidRPr="56399C74">
        <w:rPr>
          <w:b/>
          <w:bCs/>
        </w:rPr>
        <w:t>º ESO</w:t>
      </w:r>
    </w:p>
    <w:p w14:paraId="2F48DF83" w14:textId="14FA39FD" w:rsidR="00E46635" w:rsidRDefault="00796909" w:rsidP="56399C74">
      <w:pPr>
        <w:jc w:val="center"/>
        <w:rPr>
          <w:b/>
          <w:bCs/>
        </w:rPr>
      </w:pPr>
      <w:r w:rsidRPr="56399C74">
        <w:rPr>
          <w:b/>
          <w:bCs/>
        </w:rPr>
        <w:t>MATERIA: DIGITALIZACION</w:t>
      </w:r>
    </w:p>
    <w:tbl>
      <w:tblPr>
        <w:tblpPr w:leftFromText="141" w:rightFromText="141" w:vertAnchor="text" w:horzAnchor="margin" w:tblpY="20"/>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7981"/>
        <w:gridCol w:w="2268"/>
      </w:tblGrid>
      <w:tr w:rsidR="00757088" w:rsidRPr="00533042" w14:paraId="5FEB2928" w14:textId="77777777" w:rsidTr="009B44D6">
        <w:trPr>
          <w:trHeight w:val="300"/>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DEEBF6"/>
            <w:vAlign w:val="center"/>
          </w:tcPr>
          <w:p w14:paraId="0A28F27C" w14:textId="77777777" w:rsidR="00757088" w:rsidRPr="00533042" w:rsidRDefault="00757088" w:rsidP="009B44D6">
            <w:pPr>
              <w:spacing w:line="240" w:lineRule="auto"/>
              <w:jc w:val="center"/>
              <w:textAlignment w:val="baseline"/>
              <w:rPr>
                <w:b/>
                <w:bCs/>
              </w:rPr>
            </w:pPr>
            <w:r>
              <w:rPr>
                <w:rStyle w:val="normaltextrun"/>
                <w:rFonts w:ascii="Arial" w:hAnsi="Arial" w:cs="Arial"/>
                <w:b/>
                <w:bCs/>
                <w:color w:val="000000"/>
                <w:shd w:val="clear" w:color="auto" w:fill="FFFFFF"/>
              </w:rPr>
              <w:t>UNIDAD DE PROGRAMACIÓN 1: ENTORNOS DIGITALES</w:t>
            </w:r>
            <w:r>
              <w:rPr>
                <w:rStyle w:val="eop"/>
                <w:rFonts w:ascii="Arial" w:hAnsi="Arial" w:cs="Arial"/>
                <w:color w:val="000000"/>
                <w:shd w:val="clear" w:color="auto" w:fill="FFFFFF"/>
              </w:rPr>
              <w:t> </w:t>
            </w:r>
          </w:p>
        </w:tc>
      </w:tr>
      <w:tr w:rsidR="00757088" w:rsidRPr="00533042" w14:paraId="77E34EF8" w14:textId="77777777" w:rsidTr="009B44D6">
        <w:trPr>
          <w:trHeight w:val="300"/>
        </w:trPr>
        <w:tc>
          <w:tcPr>
            <w:tcW w:w="4485"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5B96C084" w14:textId="77777777" w:rsidR="00757088" w:rsidRPr="00533042" w:rsidRDefault="00757088" w:rsidP="009B44D6">
            <w:pPr>
              <w:spacing w:line="240" w:lineRule="auto"/>
              <w:ind w:left="1695" w:hanging="705"/>
              <w:textAlignment w:val="baseline"/>
              <w:rPr>
                <w:rFonts w:ascii="Segoe UI" w:hAnsi="Segoe UI" w:cs="Segoe UI"/>
                <w:sz w:val="18"/>
                <w:szCs w:val="18"/>
              </w:rPr>
            </w:pPr>
            <w:r w:rsidRPr="00533042">
              <w:rPr>
                <w:b/>
                <w:bCs/>
              </w:rPr>
              <w:t>Competencias específicas</w:t>
            </w:r>
            <w:r w:rsidRPr="00533042">
              <w:t> </w:t>
            </w:r>
          </w:p>
        </w:tc>
        <w:tc>
          <w:tcPr>
            <w:tcW w:w="7981"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416471C1" w14:textId="77777777" w:rsidR="00757088" w:rsidRPr="00533042" w:rsidRDefault="00757088" w:rsidP="009B44D6">
            <w:pPr>
              <w:spacing w:line="240" w:lineRule="auto"/>
              <w:ind w:left="1695" w:hanging="705"/>
              <w:textAlignment w:val="baseline"/>
              <w:rPr>
                <w:rFonts w:ascii="Segoe UI" w:hAnsi="Segoe UI" w:cs="Segoe UI"/>
                <w:sz w:val="18"/>
                <w:szCs w:val="18"/>
              </w:rPr>
            </w:pPr>
            <w:r w:rsidRPr="00533042">
              <w:rPr>
                <w:b/>
                <w:bCs/>
              </w:rPr>
              <w:t>Criterios de evaluación</w:t>
            </w:r>
            <w:r w:rsidRPr="00533042">
              <w:t> </w:t>
            </w:r>
          </w:p>
        </w:tc>
        <w:tc>
          <w:tcPr>
            <w:tcW w:w="2268"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456CBEDF" w14:textId="77777777" w:rsidR="00757088" w:rsidRPr="00533042" w:rsidRDefault="00757088" w:rsidP="009B44D6">
            <w:pPr>
              <w:spacing w:line="240" w:lineRule="auto"/>
              <w:jc w:val="center"/>
              <w:textAlignment w:val="baseline"/>
              <w:rPr>
                <w:rFonts w:ascii="Segoe UI" w:hAnsi="Segoe UI" w:cs="Segoe UI"/>
                <w:sz w:val="18"/>
                <w:szCs w:val="18"/>
              </w:rPr>
            </w:pPr>
            <w:r w:rsidRPr="00533042">
              <w:rPr>
                <w:b/>
                <w:bCs/>
              </w:rPr>
              <w:t>Descriptores del perfil de salida</w:t>
            </w:r>
            <w:r w:rsidRPr="00533042">
              <w:t> </w:t>
            </w:r>
          </w:p>
        </w:tc>
      </w:tr>
      <w:tr w:rsidR="00757088" w:rsidRPr="00757088" w14:paraId="0716CFDD" w14:textId="77777777" w:rsidTr="009B44D6">
        <w:trPr>
          <w:trHeight w:val="720"/>
        </w:trPr>
        <w:tc>
          <w:tcPr>
            <w:tcW w:w="44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5977C1" w14:textId="77777777" w:rsidR="00757088" w:rsidRPr="00533042" w:rsidRDefault="00757088" w:rsidP="009B44D6">
            <w:pPr>
              <w:spacing w:line="240" w:lineRule="auto"/>
              <w:jc w:val="center"/>
              <w:textAlignment w:val="baseline"/>
              <w:rPr>
                <w:rFonts w:ascii="Segoe UI" w:hAnsi="Segoe UI" w:cs="Segoe UI"/>
                <w:sz w:val="18"/>
                <w:szCs w:val="18"/>
              </w:rPr>
            </w:pPr>
            <w:r>
              <w:t>Competencia específica 1. Identificar y resolver problemas técnicos sencillos, conectar y configurar dispositivos a redes domésticas, aplicando los conocimientos de hardware y sistemas operativos para gestionar las herramientas e instalaciones informáticas y de comunicación de uso cotidiano.</w:t>
            </w:r>
          </w:p>
        </w:tc>
        <w:tc>
          <w:tcPr>
            <w:tcW w:w="79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54041A" w14:textId="77777777" w:rsidR="00757088" w:rsidRPr="00533042" w:rsidRDefault="00757088" w:rsidP="009B44D6">
            <w:pPr>
              <w:spacing w:line="240" w:lineRule="auto"/>
              <w:jc w:val="center"/>
              <w:textAlignment w:val="baseline"/>
              <w:rPr>
                <w:rFonts w:ascii="Segoe UI" w:hAnsi="Segoe UI" w:cs="Segoe UI"/>
                <w:sz w:val="18"/>
                <w:szCs w:val="18"/>
              </w:rPr>
            </w:pPr>
            <w:r>
              <w:t>1.1. Conectar dispositivos y gestionar redes locales aplicando los conocimientos y procesos asociados a sistemas de comunicación alámbrica e inalámbrica con una actitud proactiva. 1.2. Instalar y mantener sistemas operativos configurando sus características en función de sus necesidades personales. 1.3. Identificar y resolver problemas técnicos sencillos analizando componentes y funciones de los dispositivos digitales, evaluando las soluciones de manera crítica y reformulando el procedimiento, en caso necesario.</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2E1CE1" w14:textId="77777777" w:rsidR="00757088" w:rsidRPr="00F669DD" w:rsidRDefault="00757088" w:rsidP="009B44D6">
            <w:pPr>
              <w:spacing w:line="240" w:lineRule="auto"/>
              <w:jc w:val="center"/>
              <w:textAlignment w:val="baseline"/>
              <w:rPr>
                <w:rFonts w:ascii="Segoe UI" w:hAnsi="Segoe UI" w:cs="Segoe UI"/>
                <w:sz w:val="18"/>
                <w:szCs w:val="18"/>
                <w:lang w:val="en-US"/>
              </w:rPr>
            </w:pPr>
            <w:r w:rsidRPr="00F669DD">
              <w:rPr>
                <w:lang w:val="en-US"/>
              </w:rPr>
              <w:t>STEM1, STEM2, CD4, CD5, CPSAA1, CPSAA5, CE3</w:t>
            </w:r>
          </w:p>
        </w:tc>
      </w:tr>
      <w:tr w:rsidR="00757088" w:rsidRPr="00702AEE" w14:paraId="3DF8E690" w14:textId="77777777" w:rsidTr="009B44D6">
        <w:trPr>
          <w:trHeight w:val="720"/>
        </w:trPr>
        <w:tc>
          <w:tcPr>
            <w:tcW w:w="44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108E3" w14:textId="77777777" w:rsidR="00757088" w:rsidRPr="00561672" w:rsidRDefault="00757088" w:rsidP="009B44D6">
            <w:pPr>
              <w:spacing w:line="240" w:lineRule="auto"/>
              <w:jc w:val="center"/>
              <w:textAlignment w:val="baseline"/>
            </w:pPr>
            <w:r>
              <w:t>Competencia específica 2. Configurar el entorno personal de aprendizaje, interactuando y aprovechando los recursos del ámbito digital, para optimizar y gestionar el aprendizaje permanente.</w:t>
            </w:r>
          </w:p>
        </w:tc>
        <w:tc>
          <w:tcPr>
            <w:tcW w:w="79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2E9767" w14:textId="77777777" w:rsidR="00757088" w:rsidRPr="00561672" w:rsidRDefault="00757088" w:rsidP="009B44D6">
            <w:pPr>
              <w:spacing w:line="240" w:lineRule="auto"/>
              <w:jc w:val="center"/>
              <w:textAlignment w:val="baseline"/>
            </w:pPr>
            <w:r>
              <w:t>2.1. Gestionar el aprendizaje en el ámbito digital, configurando el entorno personal de aprendizaje mediante la integración de recursos digitales de manera autónoma. 2.2. Buscar, seleccionar y archivar información en función de sus necesidades haciendo uso de las herramientas del entorno personal de aprendizaje con sentido crítico y siguiendo normas básicas de seguridad en la red. 2.3. Crear, programar, integrar y reelaborar contenidos digitales de forma individual o colectiva, seleccionando las herramientas más apropiadas para generar nuevo conocimiento y contenidos digitales de manera creativa, respetando derechos de autor y licencias. 2.4. Interactuar en espacios virtuales de comunicación y plataformas de aprendizaje colaborativo, compartiendo y publicando información y datos, adaptándose a diferentes audiencias con una actitud participativa y respetuosa.</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7300F8" w14:textId="77777777" w:rsidR="00757088" w:rsidRPr="00702AEE" w:rsidRDefault="00757088" w:rsidP="009B44D6">
            <w:pPr>
              <w:spacing w:line="240" w:lineRule="auto"/>
              <w:jc w:val="center"/>
              <w:textAlignment w:val="baseline"/>
            </w:pPr>
            <w:r>
              <w:t>CD1, CD2, CD3, CPSAA1, CPSAA4, CPSAA5, CE3</w:t>
            </w:r>
          </w:p>
        </w:tc>
      </w:tr>
      <w:tr w:rsidR="00757088" w:rsidRPr="00533042" w14:paraId="14BEF164" w14:textId="77777777" w:rsidTr="009B44D6">
        <w:trPr>
          <w:trHeight w:val="300"/>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10B1EC32" w14:textId="77777777" w:rsidR="00757088" w:rsidRPr="00533042" w:rsidRDefault="00757088" w:rsidP="009B44D6">
            <w:pPr>
              <w:spacing w:line="240" w:lineRule="auto"/>
              <w:ind w:left="1695" w:hanging="705"/>
              <w:textAlignment w:val="baseline"/>
              <w:rPr>
                <w:rFonts w:ascii="Segoe UI" w:hAnsi="Segoe UI" w:cs="Segoe UI"/>
                <w:sz w:val="18"/>
                <w:szCs w:val="18"/>
              </w:rPr>
            </w:pPr>
            <w:r w:rsidRPr="00533042">
              <w:rPr>
                <w:b/>
                <w:bCs/>
              </w:rPr>
              <w:t>Saberes básicos</w:t>
            </w:r>
            <w:r w:rsidRPr="00533042">
              <w:t> </w:t>
            </w:r>
          </w:p>
        </w:tc>
      </w:tr>
      <w:tr w:rsidR="00757088" w:rsidRPr="00533042" w14:paraId="1AA3AA05" w14:textId="77777777" w:rsidTr="009B44D6">
        <w:trPr>
          <w:trHeight w:val="765"/>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C3F37C8" w14:textId="77777777" w:rsidR="00757088" w:rsidRDefault="00757088" w:rsidP="009B44D6">
            <w:pPr>
              <w:spacing w:line="240" w:lineRule="auto"/>
              <w:textAlignment w:val="baseline"/>
            </w:pPr>
            <w:r>
              <w:t xml:space="preserve">Bloque A. Dispositivos digitales, sistemas operativos y de comunicación - Arquitectura de ordenadores: elementos, montaje, configuración y resolución de problemas. - Sistemas operativos: instalación y configuración de usuario. - Sistemas de comunicación e Internet: dispositivos de red y funcionamiento. </w:t>
            </w:r>
            <w:r>
              <w:lastRenderedPageBreak/>
              <w:t xml:space="preserve">Procedimiento de configuración de una red doméstica y conexión de dispositivos. - Dispositivos conectados (internet de las cosas y </w:t>
            </w:r>
            <w:proofErr w:type="gramStart"/>
            <w:r>
              <w:t>wearables</w:t>
            </w:r>
            <w:proofErr w:type="gramEnd"/>
            <w:r>
              <w:t>): configuración y conexión de dispositivos.</w:t>
            </w:r>
          </w:p>
          <w:p w14:paraId="204BE52D" w14:textId="77777777" w:rsidR="00757088" w:rsidRPr="00533042" w:rsidRDefault="00757088" w:rsidP="009B44D6">
            <w:pPr>
              <w:spacing w:line="240" w:lineRule="auto"/>
              <w:textAlignment w:val="baseline"/>
              <w:rPr>
                <w:rFonts w:ascii="Segoe UI" w:hAnsi="Segoe UI" w:cs="Segoe UI"/>
                <w:sz w:val="18"/>
                <w:szCs w:val="18"/>
              </w:rPr>
            </w:pPr>
            <w:r>
              <w:t>Bloque B. Digitalización del entorno personal de aprendizaje - Búsqueda, selección y archivo de información. - Edición y creación de contenidos: aplicaciones de productividad, desarrollo de aplicaciones sencillas para dispositivos móviles y web, realidad virtual, aumentada y mixta. - Comunicación y colaboración en red. - Publicación y difusión responsable en redes.</w:t>
            </w:r>
          </w:p>
        </w:tc>
      </w:tr>
    </w:tbl>
    <w:p w14:paraId="16714BEF" w14:textId="5F06ED6F" w:rsidR="56399C74" w:rsidRDefault="56399C74" w:rsidP="56399C74">
      <w:pPr>
        <w:jc w:val="center"/>
        <w:rPr>
          <w:b/>
          <w:bCs/>
        </w:rPr>
      </w:pPr>
    </w:p>
    <w:p w14:paraId="4E4B2446" w14:textId="77777777" w:rsidR="00757088" w:rsidRDefault="00757088" w:rsidP="56399C74">
      <w:pPr>
        <w:jc w:val="center"/>
        <w:rPr>
          <w:b/>
          <w:bCs/>
        </w:rPr>
      </w:pPr>
    </w:p>
    <w:tbl>
      <w:tblPr>
        <w:tblpPr w:leftFromText="141" w:rightFromText="141" w:vertAnchor="text" w:horzAnchor="margin" w:tblpY="20"/>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7981"/>
        <w:gridCol w:w="2268"/>
      </w:tblGrid>
      <w:tr w:rsidR="00583A4A" w:rsidRPr="00533042" w14:paraId="72938A3E" w14:textId="77777777" w:rsidTr="009B44D6">
        <w:trPr>
          <w:trHeight w:val="300"/>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DEEBF6"/>
            <w:vAlign w:val="center"/>
          </w:tcPr>
          <w:p w14:paraId="0D257F5B" w14:textId="77777777" w:rsidR="00583A4A" w:rsidRPr="00533042" w:rsidRDefault="00583A4A" w:rsidP="009B44D6">
            <w:pPr>
              <w:spacing w:line="240" w:lineRule="auto"/>
              <w:jc w:val="center"/>
              <w:textAlignment w:val="baseline"/>
              <w:rPr>
                <w:b/>
                <w:bCs/>
              </w:rPr>
            </w:pPr>
            <w:r>
              <w:rPr>
                <w:rStyle w:val="normaltextrun"/>
                <w:rFonts w:ascii="Arial" w:hAnsi="Arial" w:cs="Arial"/>
                <w:b/>
                <w:bCs/>
                <w:color w:val="000000"/>
                <w:shd w:val="clear" w:color="auto" w:fill="FFFFFF"/>
              </w:rPr>
              <w:t>UNIDAD DE PROGRAMACIÓN 2: PUBLICACION DE CONTENIDOS</w:t>
            </w:r>
            <w:r>
              <w:rPr>
                <w:rStyle w:val="eop"/>
                <w:rFonts w:ascii="Arial" w:hAnsi="Arial" w:cs="Arial"/>
                <w:color w:val="000000"/>
                <w:shd w:val="clear" w:color="auto" w:fill="FFFFFF"/>
              </w:rPr>
              <w:t> </w:t>
            </w:r>
          </w:p>
        </w:tc>
      </w:tr>
      <w:tr w:rsidR="00583A4A" w:rsidRPr="00533042" w14:paraId="02A2ABBA" w14:textId="77777777" w:rsidTr="009B44D6">
        <w:trPr>
          <w:trHeight w:val="300"/>
        </w:trPr>
        <w:tc>
          <w:tcPr>
            <w:tcW w:w="4485"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212B519B" w14:textId="77777777" w:rsidR="00583A4A" w:rsidRPr="00533042" w:rsidRDefault="00583A4A" w:rsidP="009B44D6">
            <w:pPr>
              <w:spacing w:line="240" w:lineRule="auto"/>
              <w:ind w:left="1695" w:hanging="705"/>
              <w:textAlignment w:val="baseline"/>
              <w:rPr>
                <w:rFonts w:ascii="Segoe UI" w:hAnsi="Segoe UI" w:cs="Segoe UI"/>
                <w:sz w:val="18"/>
                <w:szCs w:val="18"/>
              </w:rPr>
            </w:pPr>
            <w:r w:rsidRPr="00533042">
              <w:rPr>
                <w:b/>
                <w:bCs/>
              </w:rPr>
              <w:t>Competencias específicas</w:t>
            </w:r>
            <w:r w:rsidRPr="00533042">
              <w:t> </w:t>
            </w:r>
          </w:p>
        </w:tc>
        <w:tc>
          <w:tcPr>
            <w:tcW w:w="7981"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15E65C23" w14:textId="77777777" w:rsidR="00583A4A" w:rsidRPr="00533042" w:rsidRDefault="00583A4A" w:rsidP="009B44D6">
            <w:pPr>
              <w:spacing w:line="240" w:lineRule="auto"/>
              <w:ind w:left="1695" w:hanging="705"/>
              <w:textAlignment w:val="baseline"/>
              <w:rPr>
                <w:rFonts w:ascii="Segoe UI" w:hAnsi="Segoe UI" w:cs="Segoe UI"/>
                <w:sz w:val="18"/>
                <w:szCs w:val="18"/>
              </w:rPr>
            </w:pPr>
            <w:r w:rsidRPr="00533042">
              <w:rPr>
                <w:b/>
                <w:bCs/>
              </w:rPr>
              <w:t>Criterios de evaluación</w:t>
            </w:r>
            <w:r w:rsidRPr="00533042">
              <w:t> </w:t>
            </w:r>
          </w:p>
        </w:tc>
        <w:tc>
          <w:tcPr>
            <w:tcW w:w="2268"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4169605D" w14:textId="77777777" w:rsidR="00583A4A" w:rsidRPr="00533042" w:rsidRDefault="00583A4A" w:rsidP="009B44D6">
            <w:pPr>
              <w:spacing w:line="240" w:lineRule="auto"/>
              <w:jc w:val="center"/>
              <w:textAlignment w:val="baseline"/>
              <w:rPr>
                <w:rFonts w:ascii="Segoe UI" w:hAnsi="Segoe UI" w:cs="Segoe UI"/>
                <w:sz w:val="18"/>
                <w:szCs w:val="18"/>
              </w:rPr>
            </w:pPr>
            <w:r w:rsidRPr="00533042">
              <w:rPr>
                <w:b/>
                <w:bCs/>
              </w:rPr>
              <w:t>Descriptores del perfil de salida</w:t>
            </w:r>
            <w:r w:rsidRPr="00533042">
              <w:t> </w:t>
            </w:r>
          </w:p>
        </w:tc>
      </w:tr>
      <w:tr w:rsidR="00583A4A" w:rsidRPr="005D307F" w14:paraId="7A6A30F3" w14:textId="77777777" w:rsidTr="009B44D6">
        <w:trPr>
          <w:trHeight w:val="720"/>
        </w:trPr>
        <w:tc>
          <w:tcPr>
            <w:tcW w:w="44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A2AD2D" w14:textId="77777777" w:rsidR="00583A4A" w:rsidRPr="00533042" w:rsidRDefault="00583A4A" w:rsidP="009B44D6">
            <w:pPr>
              <w:spacing w:line="240" w:lineRule="auto"/>
              <w:jc w:val="center"/>
              <w:textAlignment w:val="baseline"/>
              <w:rPr>
                <w:rFonts w:ascii="Segoe UI" w:hAnsi="Segoe UI" w:cs="Segoe UI"/>
                <w:sz w:val="18"/>
                <w:szCs w:val="18"/>
              </w:rPr>
            </w:pPr>
            <w:r>
              <w:t>Competencia específica 2. Configurar el entorno personal de aprendizaje, interactuando y aprovechando los recursos del ámbito digital, para optimizar y gestionar el aprendizaje permanente.</w:t>
            </w:r>
          </w:p>
        </w:tc>
        <w:tc>
          <w:tcPr>
            <w:tcW w:w="79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DA7071" w14:textId="77777777" w:rsidR="00583A4A" w:rsidRPr="00533042" w:rsidRDefault="00583A4A" w:rsidP="009B44D6">
            <w:pPr>
              <w:spacing w:line="240" w:lineRule="auto"/>
              <w:jc w:val="center"/>
              <w:textAlignment w:val="baseline"/>
              <w:rPr>
                <w:rFonts w:ascii="Segoe UI" w:hAnsi="Segoe UI" w:cs="Segoe UI"/>
                <w:sz w:val="18"/>
                <w:szCs w:val="18"/>
              </w:rPr>
            </w:pPr>
            <w:r>
              <w:t>2.1. Gestionar el aprendizaje en el ámbito digital, configurando el entorno personal de aprendizaje mediante la integración de recursos digitales de manera autónoma. 2.2. Buscar, seleccionar y archivar información en función de sus necesidades haciendo uso de las herramientas del entorno personal de aprendizaje con sentido crítico y siguiendo normas básicas de seguridad en la red. 2.3. Crear, programar, integrar y reelaborar contenidos digitales de forma individual o colectiva, seleccionando las herramientas más apropiadas para generar nuevo conocimiento y contenidos digitales de manera creativa, respetando derechos de autor y licencias. 2.4. Interactuar en espacios virtuales de comunicación y plataformas de aprendizaje colaborativo, compartiendo y publicando información y datos, adaptándose a diferentes audiencias con una actitud participativa y respetuosa.</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86868" w14:textId="77777777" w:rsidR="00583A4A" w:rsidRPr="005D307F" w:rsidRDefault="00583A4A" w:rsidP="009B44D6">
            <w:pPr>
              <w:spacing w:line="240" w:lineRule="auto"/>
              <w:jc w:val="center"/>
              <w:textAlignment w:val="baseline"/>
              <w:rPr>
                <w:rFonts w:ascii="Segoe UI" w:hAnsi="Segoe UI" w:cs="Segoe UI"/>
                <w:sz w:val="18"/>
                <w:szCs w:val="18"/>
              </w:rPr>
            </w:pPr>
            <w:r>
              <w:t>CD1, CD2, CD3, CPSAA1, CPSAA4, CPSAA5, CE3</w:t>
            </w:r>
          </w:p>
        </w:tc>
      </w:tr>
      <w:tr w:rsidR="00583A4A" w:rsidRPr="00583A4A" w14:paraId="19283A8F" w14:textId="77777777" w:rsidTr="009B44D6">
        <w:trPr>
          <w:trHeight w:val="720"/>
        </w:trPr>
        <w:tc>
          <w:tcPr>
            <w:tcW w:w="44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4CBF1" w14:textId="77777777" w:rsidR="00583A4A" w:rsidRPr="001B3324" w:rsidRDefault="00583A4A" w:rsidP="009B44D6">
            <w:pPr>
              <w:spacing w:line="240" w:lineRule="auto"/>
              <w:jc w:val="center"/>
              <w:textAlignment w:val="baseline"/>
            </w:pPr>
            <w:proofErr w:type="gramStart"/>
            <w:r>
              <w:t>Competencias específica</w:t>
            </w:r>
            <w:proofErr w:type="gramEnd"/>
            <w:r>
              <w:t xml:space="preserve"> 3. Desarrollar hábitos que fomenten el bienestar digital y el desarrollo de una actitud crítica ante los contenidos e interacciones en la red, aplicando medidas preventivas y correctivas, para proteger </w:t>
            </w:r>
            <w:r>
              <w:lastRenderedPageBreak/>
              <w:t>dispositivos, datos personales y la propia salud física y mental.</w:t>
            </w:r>
          </w:p>
        </w:tc>
        <w:tc>
          <w:tcPr>
            <w:tcW w:w="79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70CB86" w14:textId="77777777" w:rsidR="00583A4A" w:rsidRPr="001B3324" w:rsidRDefault="00583A4A" w:rsidP="009B44D6">
            <w:pPr>
              <w:spacing w:line="240" w:lineRule="auto"/>
              <w:jc w:val="center"/>
              <w:textAlignment w:val="baseline"/>
            </w:pPr>
            <w:r>
              <w:lastRenderedPageBreak/>
              <w:t xml:space="preserve">3.1. Proteger los datos personales y la huella digital generada en Internet, configurando las condiciones de privacidad de las redes sociales y espacios virtuales de trabajo. 3.2. Configurar y actualizar contraseñas, sistemas operativos y antivirus de forma periódica en los distintos dispositivos digitales de uso habitual. 3.3. Identificar y saber reaccionar ante situaciones que representan una amenaza en la red, escogiendo la mejor solución </w:t>
            </w:r>
            <w:r>
              <w:lastRenderedPageBreak/>
              <w:t>entre diversas opciones, desarrollando prácticas saludables y seguras, y valorando el bienestar físico y mental, tanto personal como colectivo.</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3C8787" w14:textId="77777777" w:rsidR="00583A4A" w:rsidRPr="003E4AF6" w:rsidRDefault="00583A4A" w:rsidP="009B44D6">
            <w:pPr>
              <w:spacing w:line="240" w:lineRule="auto"/>
              <w:jc w:val="center"/>
              <w:textAlignment w:val="baseline"/>
              <w:rPr>
                <w:lang w:val="en-US"/>
              </w:rPr>
            </w:pPr>
            <w:r w:rsidRPr="003E4AF6">
              <w:rPr>
                <w:lang w:val="en-US"/>
              </w:rPr>
              <w:lastRenderedPageBreak/>
              <w:t>CCL3, STEM5, CD1, CD4, CPSAA2, CPSAA5, CC2, CC3</w:t>
            </w:r>
          </w:p>
        </w:tc>
      </w:tr>
      <w:tr w:rsidR="00583A4A" w:rsidRPr="00533042" w14:paraId="4368B065" w14:textId="77777777" w:rsidTr="009B44D6">
        <w:trPr>
          <w:trHeight w:val="300"/>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375B44BC" w14:textId="77777777" w:rsidR="00583A4A" w:rsidRPr="00533042" w:rsidRDefault="00583A4A" w:rsidP="009B44D6">
            <w:pPr>
              <w:spacing w:line="240" w:lineRule="auto"/>
              <w:ind w:left="1695" w:hanging="705"/>
              <w:textAlignment w:val="baseline"/>
              <w:rPr>
                <w:rFonts w:ascii="Segoe UI" w:hAnsi="Segoe UI" w:cs="Segoe UI"/>
                <w:sz w:val="18"/>
                <w:szCs w:val="18"/>
              </w:rPr>
            </w:pPr>
            <w:r w:rsidRPr="00533042">
              <w:rPr>
                <w:b/>
                <w:bCs/>
              </w:rPr>
              <w:t>Saberes básicos</w:t>
            </w:r>
            <w:r w:rsidRPr="00533042">
              <w:t> </w:t>
            </w:r>
          </w:p>
        </w:tc>
      </w:tr>
      <w:tr w:rsidR="00583A4A" w:rsidRPr="00533042" w14:paraId="0BEAFC4E" w14:textId="77777777" w:rsidTr="009B44D6">
        <w:trPr>
          <w:trHeight w:val="765"/>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243F334" w14:textId="77777777" w:rsidR="00583A4A" w:rsidRDefault="00583A4A" w:rsidP="009B44D6">
            <w:pPr>
              <w:spacing w:line="240" w:lineRule="auto"/>
              <w:textAlignment w:val="baseline"/>
            </w:pPr>
            <w:r>
              <w:t>Bloque B. Digitalización del entorno personal de aprendizaje - Búsqueda, selección y archivo de información. - Edición y creación de contenidos: aplicaciones de productividad, desarrollo de aplicaciones sencillas para dispositivos móviles y web, realidad virtual, aumentada y mixta. - Comunicación y colaboración en red. - Publicación y difusión responsable en redes.</w:t>
            </w:r>
          </w:p>
          <w:p w14:paraId="23D5C392" w14:textId="77777777" w:rsidR="00583A4A" w:rsidRDefault="00583A4A" w:rsidP="009B44D6">
            <w:pPr>
              <w:spacing w:line="240" w:lineRule="auto"/>
              <w:textAlignment w:val="baseline"/>
            </w:pPr>
          </w:p>
          <w:p w14:paraId="5ABC7BEC" w14:textId="77777777" w:rsidR="00583A4A" w:rsidRPr="00B25957" w:rsidRDefault="00583A4A" w:rsidP="009B44D6">
            <w:pPr>
              <w:spacing w:line="240" w:lineRule="auto"/>
              <w:textAlignment w:val="baseline"/>
            </w:pPr>
            <w:r>
              <w:t>Bloque C. Seguridad y bienestar digital - Seguridad de dispositivos: medidas preventivas y correctivas para hacer frente a riesgos, amenazas y ataques a dispositivos. - Seguridad y protección de datos: identidad, reputación digital, privacidad y huella digital. Medidas preventivas en la configuración de redes sociales y la gestión de identidades virtuales con especial atención a las institucionales. - Seguridad en la salud física y mental. Riesgos y amenazas al bienestar personal. Opciones de respuesta y prácticas de uso saludable. Situaciones de violencia y de riesgo en la red (ciberacoso, sextorsión, acceso a contenidos inadecuados, dependencia tecnológica, etc.).</w:t>
            </w:r>
          </w:p>
        </w:tc>
      </w:tr>
    </w:tbl>
    <w:p w14:paraId="3AB56938" w14:textId="77777777" w:rsidR="00757088" w:rsidRDefault="00757088" w:rsidP="56399C74">
      <w:pPr>
        <w:jc w:val="center"/>
        <w:rPr>
          <w:b/>
          <w:bCs/>
        </w:rPr>
      </w:pPr>
    </w:p>
    <w:p w14:paraId="357B3AFC" w14:textId="77777777" w:rsidR="00896616" w:rsidRDefault="00896616" w:rsidP="56399C74">
      <w:pPr>
        <w:jc w:val="center"/>
        <w:rPr>
          <w:b/>
          <w:bCs/>
        </w:rPr>
      </w:pPr>
    </w:p>
    <w:tbl>
      <w:tblPr>
        <w:tblpPr w:leftFromText="141" w:rightFromText="141" w:vertAnchor="text" w:horzAnchor="margin" w:tblpY="20"/>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7981"/>
        <w:gridCol w:w="2268"/>
      </w:tblGrid>
      <w:tr w:rsidR="00896616" w:rsidRPr="00533042" w14:paraId="3EA74145" w14:textId="77777777" w:rsidTr="009B44D6">
        <w:trPr>
          <w:trHeight w:val="300"/>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DEEBF6"/>
            <w:vAlign w:val="center"/>
          </w:tcPr>
          <w:p w14:paraId="23884AB8" w14:textId="77777777" w:rsidR="00896616" w:rsidRPr="00533042" w:rsidRDefault="00896616" w:rsidP="009B44D6">
            <w:pPr>
              <w:spacing w:line="240" w:lineRule="auto"/>
              <w:jc w:val="center"/>
              <w:textAlignment w:val="baseline"/>
              <w:rPr>
                <w:b/>
                <w:bCs/>
              </w:rPr>
            </w:pPr>
            <w:r>
              <w:rPr>
                <w:rStyle w:val="normaltextrun"/>
                <w:rFonts w:ascii="Arial" w:hAnsi="Arial" w:cs="Arial"/>
                <w:b/>
                <w:bCs/>
                <w:color w:val="000000"/>
                <w:shd w:val="clear" w:color="auto" w:fill="FFFFFF"/>
              </w:rPr>
              <w:t>UNIDAD DE PROGRAMACIÓN 3: CIUDADANIA DIGITAL</w:t>
            </w:r>
            <w:r>
              <w:rPr>
                <w:rStyle w:val="eop"/>
                <w:rFonts w:ascii="Arial" w:hAnsi="Arial" w:cs="Arial"/>
                <w:color w:val="000000"/>
                <w:shd w:val="clear" w:color="auto" w:fill="FFFFFF"/>
              </w:rPr>
              <w:t> </w:t>
            </w:r>
          </w:p>
        </w:tc>
      </w:tr>
      <w:tr w:rsidR="00896616" w:rsidRPr="00533042" w14:paraId="0A7D5D86" w14:textId="77777777" w:rsidTr="009B44D6">
        <w:trPr>
          <w:trHeight w:val="300"/>
        </w:trPr>
        <w:tc>
          <w:tcPr>
            <w:tcW w:w="4485"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317FD866" w14:textId="77777777" w:rsidR="00896616" w:rsidRPr="00533042" w:rsidRDefault="00896616" w:rsidP="009B44D6">
            <w:pPr>
              <w:spacing w:line="240" w:lineRule="auto"/>
              <w:ind w:left="1695" w:hanging="705"/>
              <w:textAlignment w:val="baseline"/>
              <w:rPr>
                <w:rFonts w:ascii="Segoe UI" w:hAnsi="Segoe UI" w:cs="Segoe UI"/>
                <w:sz w:val="18"/>
                <w:szCs w:val="18"/>
              </w:rPr>
            </w:pPr>
            <w:r w:rsidRPr="00533042">
              <w:rPr>
                <w:b/>
                <w:bCs/>
              </w:rPr>
              <w:t>Competencias específicas</w:t>
            </w:r>
            <w:r w:rsidRPr="00533042">
              <w:t> </w:t>
            </w:r>
          </w:p>
        </w:tc>
        <w:tc>
          <w:tcPr>
            <w:tcW w:w="7981"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109D7CDA" w14:textId="77777777" w:rsidR="00896616" w:rsidRPr="00533042" w:rsidRDefault="00896616" w:rsidP="009B44D6">
            <w:pPr>
              <w:spacing w:line="240" w:lineRule="auto"/>
              <w:ind w:left="1695" w:hanging="705"/>
              <w:textAlignment w:val="baseline"/>
              <w:rPr>
                <w:rFonts w:ascii="Segoe UI" w:hAnsi="Segoe UI" w:cs="Segoe UI"/>
                <w:sz w:val="18"/>
                <w:szCs w:val="18"/>
              </w:rPr>
            </w:pPr>
            <w:r w:rsidRPr="00533042">
              <w:rPr>
                <w:b/>
                <w:bCs/>
              </w:rPr>
              <w:t>Criterios de evaluación</w:t>
            </w:r>
            <w:r w:rsidRPr="00533042">
              <w:t> </w:t>
            </w:r>
          </w:p>
        </w:tc>
        <w:tc>
          <w:tcPr>
            <w:tcW w:w="2268" w:type="dxa"/>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04CB68BA" w14:textId="77777777" w:rsidR="00896616" w:rsidRPr="00533042" w:rsidRDefault="00896616" w:rsidP="009B44D6">
            <w:pPr>
              <w:spacing w:line="240" w:lineRule="auto"/>
              <w:jc w:val="center"/>
              <w:textAlignment w:val="baseline"/>
              <w:rPr>
                <w:rFonts w:ascii="Segoe UI" w:hAnsi="Segoe UI" w:cs="Segoe UI"/>
                <w:sz w:val="18"/>
                <w:szCs w:val="18"/>
              </w:rPr>
            </w:pPr>
            <w:r w:rsidRPr="00533042">
              <w:rPr>
                <w:b/>
                <w:bCs/>
              </w:rPr>
              <w:t>Descriptores del perfil de salida</w:t>
            </w:r>
            <w:r w:rsidRPr="00533042">
              <w:t> </w:t>
            </w:r>
          </w:p>
        </w:tc>
      </w:tr>
      <w:tr w:rsidR="00896616" w:rsidRPr="009015EC" w14:paraId="02893AC0" w14:textId="77777777" w:rsidTr="009B44D6">
        <w:trPr>
          <w:trHeight w:val="720"/>
        </w:trPr>
        <w:tc>
          <w:tcPr>
            <w:tcW w:w="44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7988C4" w14:textId="77777777" w:rsidR="00896616" w:rsidRPr="00533042" w:rsidRDefault="00896616" w:rsidP="009B44D6">
            <w:pPr>
              <w:spacing w:line="240" w:lineRule="auto"/>
              <w:jc w:val="center"/>
              <w:textAlignment w:val="baseline"/>
              <w:rPr>
                <w:rFonts w:ascii="Segoe UI" w:hAnsi="Segoe UI" w:cs="Segoe UI"/>
                <w:sz w:val="18"/>
                <w:szCs w:val="18"/>
              </w:rPr>
            </w:pPr>
            <w:r>
              <w:t>Competencia específica 2. Configurar el entorno personal de aprendizaje, interactuando y aprovechando los recursos del ámbito digital, para optimizar y gestionar el aprendizaje permanente.</w:t>
            </w:r>
          </w:p>
        </w:tc>
        <w:tc>
          <w:tcPr>
            <w:tcW w:w="79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808BAF" w14:textId="77777777" w:rsidR="00896616" w:rsidRPr="00533042" w:rsidRDefault="00896616" w:rsidP="009B44D6">
            <w:pPr>
              <w:spacing w:line="240" w:lineRule="auto"/>
              <w:jc w:val="center"/>
              <w:textAlignment w:val="baseline"/>
              <w:rPr>
                <w:rFonts w:ascii="Segoe UI" w:hAnsi="Segoe UI" w:cs="Segoe UI"/>
                <w:sz w:val="18"/>
                <w:szCs w:val="18"/>
              </w:rPr>
            </w:pPr>
            <w:r>
              <w:t xml:space="preserve">2.1. Gestionar el aprendizaje en el ámbito digital, configurando el entorno personal de aprendizaje mediante la integración de recursos digitales de manera autónoma. 2.2. Buscar, seleccionar y archivar información en función de sus necesidades haciendo uso de las herramientas del entorno personal de aprendizaje con sentido crítico y siguiendo normas básicas de seguridad en la red. 2.3. Crear, programar, integrar y reelaborar contenidos digitales de forma individual o colectiva, seleccionando las herramientas más apropiadas para generar nuevo conocimiento y contenidos digitales de manera creativa, respetando derechos de autor y licencias. 2.4. Interactuar en espacios virtuales de </w:t>
            </w:r>
            <w:r>
              <w:lastRenderedPageBreak/>
              <w:t>comunicación y plataformas de aprendizaje colaborativo, compartiendo y publicando información y datos, adaptándose a diferentes audiencias con una actitud participativa y respetuosa.</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7BB988" w14:textId="77777777" w:rsidR="00896616" w:rsidRPr="00183569" w:rsidRDefault="00896616" w:rsidP="009B44D6">
            <w:pPr>
              <w:spacing w:line="240" w:lineRule="auto"/>
              <w:jc w:val="center"/>
              <w:textAlignment w:val="baseline"/>
              <w:rPr>
                <w:rFonts w:ascii="Segoe UI" w:hAnsi="Segoe UI" w:cs="Segoe UI"/>
                <w:sz w:val="18"/>
                <w:szCs w:val="18"/>
              </w:rPr>
            </w:pPr>
            <w:r>
              <w:lastRenderedPageBreak/>
              <w:t>CD1, CD2, CD3, CPSAA1, CPSAA4, CPSAA5, CE3</w:t>
            </w:r>
          </w:p>
        </w:tc>
      </w:tr>
      <w:tr w:rsidR="00896616" w:rsidRPr="009015EC" w14:paraId="2D411386" w14:textId="77777777" w:rsidTr="009B44D6">
        <w:trPr>
          <w:trHeight w:val="720"/>
        </w:trPr>
        <w:tc>
          <w:tcPr>
            <w:tcW w:w="44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9F8EE5" w14:textId="77777777" w:rsidR="00896616" w:rsidRPr="00533042" w:rsidRDefault="00896616" w:rsidP="009B44D6">
            <w:pPr>
              <w:spacing w:line="240" w:lineRule="auto"/>
              <w:jc w:val="center"/>
              <w:textAlignment w:val="baseline"/>
            </w:pPr>
            <w:proofErr w:type="gramStart"/>
            <w:r>
              <w:t>Competencias específica</w:t>
            </w:r>
            <w:proofErr w:type="gramEnd"/>
            <w:r>
              <w:t xml:space="preserve"> 4. Ejercer una ciudadanía digital crítica, conociendo las posibles acciones que realizar en la red, e identificando sus repercusiones, para hacer un uso activo, responsable y ético de la tecnología.</w:t>
            </w:r>
          </w:p>
        </w:tc>
        <w:tc>
          <w:tcPr>
            <w:tcW w:w="79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39E6E8" w14:textId="77777777" w:rsidR="00896616" w:rsidRPr="00533042" w:rsidRDefault="00896616" w:rsidP="009B44D6">
            <w:pPr>
              <w:spacing w:line="240" w:lineRule="auto"/>
              <w:jc w:val="center"/>
              <w:textAlignment w:val="baseline"/>
            </w:pPr>
            <w:r>
              <w:t xml:space="preserve">4.1. Hacer un uso ético de los datos y las herramientas digitales, aplicando las normas de etiqueta digital y respetando la privacidad y las licencias de uso y propiedad intelectual en la comunicación, colaboración y </w:t>
            </w:r>
            <w:proofErr w:type="gramStart"/>
            <w:r>
              <w:t>participación activa</w:t>
            </w:r>
            <w:proofErr w:type="gramEnd"/>
            <w:r>
              <w:t xml:space="preserve"> en la red. 4.2. Reconocer las aportaciones de las tecnologías digitales en las gestiones administrativas y el comercio electrónico, siendo consciente de la brecha social de acceso, uso y aprovechamiento de dichas tecnologías para diversos colectivos. 4.3. Valorar la importancia de la oportunidad, facilidad y libertad de expresión que suponen los medios digitales conectados, analizando de forma crítica los mensajes que se reciben y transmiten teniendo en cuenta su objetividad, ideología, intencionalidad, sesgos y caducidad. 4.4. Analizar la necesidad y los beneficios globales de un uso y desarrollo </w:t>
            </w:r>
            <w:proofErr w:type="spellStart"/>
            <w:r>
              <w:t>ecosocialmente</w:t>
            </w:r>
            <w:proofErr w:type="spellEnd"/>
            <w:r>
              <w:t xml:space="preserve"> responsable de las tecnologías digitales, teniendo en cuenta criterios de accesibilidad, sostenibilidad e impacto.</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5C193E" w14:textId="77777777" w:rsidR="00896616" w:rsidRPr="00183569" w:rsidRDefault="00896616" w:rsidP="009B44D6">
            <w:pPr>
              <w:spacing w:line="240" w:lineRule="auto"/>
              <w:jc w:val="center"/>
              <w:textAlignment w:val="baseline"/>
            </w:pPr>
            <w:r>
              <w:t>CD3, CD4, CPSAA1, CC1, CC2, CC3, CC4, CE1</w:t>
            </w:r>
          </w:p>
        </w:tc>
      </w:tr>
      <w:tr w:rsidR="00896616" w:rsidRPr="00533042" w14:paraId="19E05D1C" w14:textId="77777777" w:rsidTr="009B44D6">
        <w:trPr>
          <w:trHeight w:val="300"/>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DEEBF6"/>
            <w:vAlign w:val="center"/>
            <w:hideMark/>
          </w:tcPr>
          <w:p w14:paraId="3496D7C5" w14:textId="77777777" w:rsidR="00896616" w:rsidRPr="00533042" w:rsidRDefault="00896616" w:rsidP="009B44D6">
            <w:pPr>
              <w:spacing w:line="240" w:lineRule="auto"/>
              <w:ind w:left="1695" w:hanging="705"/>
              <w:textAlignment w:val="baseline"/>
              <w:rPr>
                <w:rFonts w:ascii="Segoe UI" w:hAnsi="Segoe UI" w:cs="Segoe UI"/>
                <w:sz w:val="18"/>
                <w:szCs w:val="18"/>
              </w:rPr>
            </w:pPr>
            <w:r w:rsidRPr="00533042">
              <w:rPr>
                <w:b/>
                <w:bCs/>
              </w:rPr>
              <w:t>Saberes básicos</w:t>
            </w:r>
            <w:r w:rsidRPr="00533042">
              <w:t> </w:t>
            </w:r>
          </w:p>
        </w:tc>
      </w:tr>
      <w:tr w:rsidR="00896616" w:rsidRPr="00533042" w14:paraId="332F2454" w14:textId="77777777" w:rsidTr="009B44D6">
        <w:trPr>
          <w:trHeight w:val="765"/>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F60CC05" w14:textId="77777777" w:rsidR="00896616" w:rsidRDefault="00896616" w:rsidP="009B44D6">
            <w:pPr>
              <w:spacing w:line="240" w:lineRule="auto"/>
              <w:textAlignment w:val="baseline"/>
            </w:pPr>
            <w:r>
              <w:t>Bloque C. Seguridad y bienestar digital - Seguridad de dispositivos: medidas preventivas y correctivas para hacer frente a riesgos, amenazas y ataques a dispositivos. - Seguridad y protección de datos: identidad, reputación digital, privacidad y huella digital. Medidas preventivas en la configuración de redes sociales y la gestión de identidades virtuales con especial atención a las institucionales. - Seguridad en la salud física y mental. Riesgos y amenazas al bienestar personal. Opciones de respuesta y prácticas de uso saludable. Situaciones de violencia y de riesgo en la red (ciberacoso, sextorsión, acceso a contenidos inadecuados, dependencia tecnológica, etc.).</w:t>
            </w:r>
          </w:p>
          <w:p w14:paraId="4F7FB548" w14:textId="77777777" w:rsidR="00896616" w:rsidRDefault="00896616" w:rsidP="009B44D6">
            <w:pPr>
              <w:spacing w:line="240" w:lineRule="auto"/>
              <w:textAlignment w:val="baseline"/>
            </w:pPr>
          </w:p>
          <w:p w14:paraId="715A6059" w14:textId="77777777" w:rsidR="00896616" w:rsidRPr="00533042" w:rsidRDefault="00896616" w:rsidP="009B44D6">
            <w:pPr>
              <w:spacing w:line="240" w:lineRule="auto"/>
              <w:textAlignment w:val="baseline"/>
              <w:rPr>
                <w:rFonts w:ascii="Segoe UI" w:hAnsi="Segoe UI" w:cs="Segoe UI"/>
                <w:sz w:val="18"/>
                <w:szCs w:val="18"/>
              </w:rPr>
            </w:pPr>
            <w:r>
              <w:t xml:space="preserve">Bloque D. Ciudadanía digital crítica. - Interactividad en la red: libertad de expresión, etiqueta digital, propiedad intelectual y licencias de uso. - Educación mediática: periodismo digital, blogosfera, estrategias comunicativas y uso crítico de la red. Herramientas para detectar noticias falsas y fraudes. - Gestiones administrativas: servicios públicos en línea, registros digitales y certificados oficiales. - Comercio electrónico: facturas digitales, formas de pago y criptomonedas. - Ética en el uso de datos y herramientas digitales: inteligencia artificial, sesgos algorítmicos e ideológicos, obsolescencia programada, soberanía tecnológica y digitalización sostenible. - Activismo en línea: plataformas de iniciativa ciudadana y </w:t>
            </w:r>
            <w:proofErr w:type="spellStart"/>
            <w:r>
              <w:t>cibervoluntariado</w:t>
            </w:r>
            <w:proofErr w:type="spellEnd"/>
            <w:r>
              <w:t xml:space="preserve"> y comunidades de hardware y software libres.</w:t>
            </w:r>
          </w:p>
        </w:tc>
      </w:tr>
    </w:tbl>
    <w:p w14:paraId="39DE62FD" w14:textId="77777777" w:rsidR="00896616" w:rsidRDefault="00896616" w:rsidP="56399C74">
      <w:pPr>
        <w:jc w:val="center"/>
        <w:rPr>
          <w:b/>
          <w:bCs/>
        </w:rPr>
      </w:pPr>
    </w:p>
    <w:p w14:paraId="5E862F80" w14:textId="488BA492" w:rsidR="00796909" w:rsidRDefault="00796909" w:rsidP="0B4EED3B">
      <w:pPr>
        <w:rPr>
          <w:b/>
          <w:bCs/>
        </w:rPr>
      </w:pPr>
      <w:r w:rsidRPr="0B4EED3B">
        <w:rPr>
          <w:b/>
          <w:bCs/>
        </w:rPr>
        <w:t>Procedimiento de evaluación y criterios de calificación</w:t>
      </w:r>
      <w:r w:rsidR="378A408B" w:rsidRPr="0B4EED3B">
        <w:rPr>
          <w:b/>
          <w:bCs/>
        </w:rPr>
        <w:t xml:space="preserve"> extraídos de la Programación Docente</w:t>
      </w:r>
    </w:p>
    <w:p w14:paraId="1B21232E" w14:textId="608476E6" w:rsidR="378A408B" w:rsidRDefault="378A408B" w:rsidP="0B4EED3B">
      <w:pPr>
        <w:pStyle w:val="Normal1"/>
        <w:numPr>
          <w:ilvl w:val="0"/>
          <w:numId w:val="2"/>
        </w:numPr>
        <w:spacing w:line="360" w:lineRule="auto"/>
        <w:rPr>
          <w:rFonts w:ascii="Times New Roman" w:eastAsia="Times New Roman" w:hAnsi="Times New Roman" w:cs="Times New Roman"/>
          <w:color w:val="000000" w:themeColor="text1"/>
          <w:sz w:val="24"/>
          <w:szCs w:val="24"/>
        </w:rPr>
      </w:pPr>
      <w:r w:rsidRPr="0B4EED3B">
        <w:rPr>
          <w:rFonts w:ascii="Times New Roman" w:eastAsia="Times New Roman" w:hAnsi="Times New Roman" w:cs="Times New Roman"/>
          <w:color w:val="000000" w:themeColor="text1"/>
          <w:sz w:val="24"/>
          <w:szCs w:val="24"/>
        </w:rPr>
        <w:t>S</w:t>
      </w:r>
      <w:r w:rsidR="205A4D1C" w:rsidRPr="0B4EED3B">
        <w:rPr>
          <w:rFonts w:ascii="Times New Roman" w:eastAsia="Times New Roman" w:hAnsi="Times New Roman" w:cs="Times New Roman"/>
          <w:color w:val="000000" w:themeColor="text1"/>
          <w:sz w:val="24"/>
          <w:szCs w:val="24"/>
        </w:rPr>
        <w:t xml:space="preserve">e entenderá como procedimientos de evaluación a los métodos que se utilicen para la recogida de información, como pueden ser la observación sistemática, el análisis de las producciones del alumnado, las interacciones orales con el alumnado, las pruebas específicas, las encuestas y cuestionarios, la observación externa u otros. </w:t>
      </w:r>
    </w:p>
    <w:p w14:paraId="039614F6" w14:textId="08EACBDC" w:rsidR="205A4D1C" w:rsidRDefault="205A4D1C" w:rsidP="0B4EED3B">
      <w:pPr>
        <w:pStyle w:val="Normal1"/>
        <w:numPr>
          <w:ilvl w:val="0"/>
          <w:numId w:val="2"/>
        </w:numPr>
        <w:spacing w:line="360" w:lineRule="auto"/>
        <w:rPr>
          <w:rFonts w:ascii="Times New Roman" w:eastAsia="Times New Roman" w:hAnsi="Times New Roman" w:cs="Times New Roman"/>
          <w:color w:val="000000" w:themeColor="text1"/>
          <w:sz w:val="24"/>
          <w:szCs w:val="24"/>
        </w:rPr>
      </w:pPr>
      <w:r w:rsidRPr="0B4EED3B">
        <w:rPr>
          <w:rFonts w:ascii="Times New Roman" w:eastAsia="Times New Roman" w:hAnsi="Times New Roman" w:cs="Times New Roman"/>
          <w:color w:val="000000" w:themeColor="text1"/>
          <w:sz w:val="24"/>
          <w:szCs w:val="24"/>
        </w:rPr>
        <w:t xml:space="preserve">Cada uno de estos procedimientos se concretará en uno o varios instrumentos de evaluación, entendidos como los registros, documentos y soportes físicos o digitales que emplea el profesorado para recoger evidencias del progreso del aprendizaje del alumnado, como pueden ser listados de control, escalas de observación, dianas de aprendizaje, semáforo, escalera de la metacognición, rúbricas de evaluación, textos escritos, producciones orales, monografías, pruebas objetivas, exposiciones, etcétera. </w:t>
      </w:r>
    </w:p>
    <w:p w14:paraId="627FBF8A" w14:textId="53D3BFD1" w:rsidR="205A4D1C" w:rsidRDefault="205A4D1C" w:rsidP="0B4EED3B">
      <w:pPr>
        <w:pStyle w:val="Normal1"/>
        <w:numPr>
          <w:ilvl w:val="0"/>
          <w:numId w:val="2"/>
        </w:numPr>
        <w:spacing w:line="360" w:lineRule="auto"/>
        <w:rPr>
          <w:rFonts w:ascii="Times New Roman" w:eastAsia="Times New Roman" w:hAnsi="Times New Roman" w:cs="Times New Roman"/>
          <w:color w:val="000000" w:themeColor="text1"/>
          <w:sz w:val="24"/>
          <w:szCs w:val="24"/>
        </w:rPr>
      </w:pPr>
      <w:r w:rsidRPr="0B4EED3B">
        <w:rPr>
          <w:rFonts w:ascii="Times New Roman" w:eastAsia="Times New Roman" w:hAnsi="Times New Roman" w:cs="Times New Roman"/>
          <w:color w:val="000000" w:themeColor="text1"/>
          <w:sz w:val="24"/>
          <w:szCs w:val="24"/>
        </w:rPr>
        <w:t>Todos los criterios de evaluación deberán estar asociados a uno o más procedimientos e instrumentos de evaluación.</w:t>
      </w:r>
    </w:p>
    <w:p w14:paraId="4EF1698F" w14:textId="0A38492B" w:rsidR="0176EC7D" w:rsidRDefault="0176EC7D" w:rsidP="0B4EED3B">
      <w:pPr>
        <w:pStyle w:val="Normal1"/>
        <w:numPr>
          <w:ilvl w:val="0"/>
          <w:numId w:val="2"/>
        </w:numPr>
        <w:spacing w:line="360" w:lineRule="auto"/>
        <w:rPr>
          <w:rFonts w:ascii="Times New Roman" w:eastAsia="Times New Roman" w:hAnsi="Times New Roman" w:cs="Times New Roman"/>
          <w:color w:val="000000" w:themeColor="text1"/>
          <w:sz w:val="24"/>
          <w:szCs w:val="24"/>
        </w:rPr>
      </w:pPr>
      <w:r w:rsidRPr="0B4EED3B">
        <w:rPr>
          <w:rFonts w:ascii="Times New Roman" w:eastAsia="Times New Roman" w:hAnsi="Times New Roman" w:cs="Times New Roman"/>
          <w:color w:val="000000" w:themeColor="text1"/>
          <w:sz w:val="24"/>
          <w:szCs w:val="24"/>
        </w:rPr>
        <w:t>Cada criterio de evaluación se valorará con al menos un instrumento de evaluación específico de los indicados en el punto anterior, conocido por el alumnado con antelación</w:t>
      </w:r>
      <w:r w:rsidR="6F38FC4C" w:rsidRPr="0B4EED3B">
        <w:rPr>
          <w:rFonts w:ascii="Times New Roman" w:eastAsia="Times New Roman" w:hAnsi="Times New Roman" w:cs="Times New Roman"/>
          <w:color w:val="000000" w:themeColor="text1"/>
          <w:sz w:val="24"/>
          <w:szCs w:val="24"/>
        </w:rPr>
        <w:t xml:space="preserve"> </w:t>
      </w:r>
      <w:r w:rsidRPr="0B4EED3B">
        <w:rPr>
          <w:rFonts w:ascii="Times New Roman" w:eastAsia="Times New Roman" w:hAnsi="Times New Roman" w:cs="Times New Roman"/>
          <w:color w:val="000000" w:themeColor="text1"/>
          <w:sz w:val="24"/>
          <w:szCs w:val="24"/>
        </w:rPr>
        <w:t xml:space="preserve">y </w:t>
      </w:r>
      <w:r w:rsidR="77D8C689" w:rsidRPr="0B4EED3B">
        <w:rPr>
          <w:rFonts w:ascii="Times New Roman" w:eastAsia="Times New Roman" w:hAnsi="Times New Roman" w:cs="Times New Roman"/>
          <w:color w:val="000000" w:themeColor="text1"/>
          <w:sz w:val="24"/>
          <w:szCs w:val="24"/>
        </w:rPr>
        <w:t>al qu</w:t>
      </w:r>
      <w:r w:rsidRPr="0B4EED3B">
        <w:rPr>
          <w:rFonts w:ascii="Times New Roman" w:eastAsia="Times New Roman" w:hAnsi="Times New Roman" w:cs="Times New Roman"/>
          <w:color w:val="000000" w:themeColor="text1"/>
          <w:sz w:val="24"/>
          <w:szCs w:val="24"/>
        </w:rPr>
        <w:t xml:space="preserve">e </w:t>
      </w:r>
      <w:r w:rsidR="77D8C689" w:rsidRPr="0B4EED3B">
        <w:rPr>
          <w:rFonts w:ascii="Times New Roman" w:eastAsia="Times New Roman" w:hAnsi="Times New Roman" w:cs="Times New Roman"/>
          <w:color w:val="000000" w:themeColor="text1"/>
          <w:sz w:val="24"/>
          <w:szCs w:val="24"/>
        </w:rPr>
        <w:t xml:space="preserve">se </w:t>
      </w:r>
      <w:r w:rsidRPr="0B4EED3B">
        <w:rPr>
          <w:rFonts w:ascii="Times New Roman" w:eastAsia="Times New Roman" w:hAnsi="Times New Roman" w:cs="Times New Roman"/>
          <w:color w:val="000000" w:themeColor="text1"/>
          <w:sz w:val="24"/>
          <w:szCs w:val="24"/>
        </w:rPr>
        <w:t>asignará una calificación numérica de entre 0 y 10. A efectos de determinar el grado de adquisición del criterio de evaluación valorado se utilizarán las valoraciones cualitativas siguientes, indicándose entre paréntesis el valor numérico correspondiente: INSUFICIENTE (hasta 4), SUFICIENTE (de 4 a 5,5), BIEN (6,5), NOTABLE (8) o SOBRESALIENTE (mayor que 8)</w:t>
      </w:r>
      <w:r w:rsidR="1A3D1E6B" w:rsidRPr="0B4EED3B">
        <w:rPr>
          <w:rFonts w:ascii="Times New Roman" w:eastAsia="Times New Roman" w:hAnsi="Times New Roman" w:cs="Times New Roman"/>
          <w:color w:val="000000" w:themeColor="text1"/>
          <w:sz w:val="24"/>
          <w:szCs w:val="24"/>
        </w:rPr>
        <w:t xml:space="preserve">. En el caso de que se utilice más de un instrumento de evaluación la nota asignada a cada criterio de evaluación será la media de las notas </w:t>
      </w:r>
      <w:r w:rsidR="292E1594" w:rsidRPr="0B4EED3B">
        <w:rPr>
          <w:rFonts w:ascii="Times New Roman" w:eastAsia="Times New Roman" w:hAnsi="Times New Roman" w:cs="Times New Roman"/>
          <w:color w:val="000000" w:themeColor="text1"/>
          <w:sz w:val="24"/>
          <w:szCs w:val="24"/>
        </w:rPr>
        <w:t>obtenidas en los instrumentos de evaluación empleados.</w:t>
      </w:r>
      <w:r w:rsidRPr="0B4EED3B">
        <w:rPr>
          <w:rFonts w:ascii="Times New Roman" w:eastAsia="Times New Roman" w:hAnsi="Times New Roman" w:cs="Times New Roman"/>
          <w:color w:val="000000" w:themeColor="text1"/>
          <w:sz w:val="24"/>
          <w:szCs w:val="24"/>
        </w:rPr>
        <w:t xml:space="preserve"> </w:t>
      </w:r>
    </w:p>
    <w:p w14:paraId="187763D9" w14:textId="043D77A6" w:rsidR="0176EC7D" w:rsidRDefault="0176EC7D" w:rsidP="0B4EED3B">
      <w:pPr>
        <w:pStyle w:val="Normal1"/>
        <w:numPr>
          <w:ilvl w:val="0"/>
          <w:numId w:val="2"/>
        </w:numPr>
        <w:spacing w:line="360" w:lineRule="auto"/>
      </w:pPr>
      <w:r w:rsidRPr="0B4EED3B">
        <w:rPr>
          <w:rFonts w:ascii="Times New Roman" w:eastAsia="Times New Roman" w:hAnsi="Times New Roman" w:cs="Times New Roman"/>
          <w:color w:val="000000" w:themeColor="text1"/>
          <w:sz w:val="24"/>
          <w:szCs w:val="24"/>
        </w:rPr>
        <w:t xml:space="preserve">Criterios de calificación: Las calificaciones obtenidas para cada criterio de evaluación ponderarán de forma equitativa para obtener la nota correspondiente a cada competencia específica. </w:t>
      </w:r>
    </w:p>
    <w:p w14:paraId="26F7D805" w14:textId="4947FA76" w:rsidR="0176EC7D" w:rsidRDefault="0176EC7D" w:rsidP="0B4EED3B">
      <w:pPr>
        <w:pStyle w:val="Normal1"/>
        <w:numPr>
          <w:ilvl w:val="0"/>
          <w:numId w:val="2"/>
        </w:numPr>
        <w:spacing w:line="360" w:lineRule="auto"/>
      </w:pPr>
      <w:r w:rsidRPr="0B4EED3B">
        <w:rPr>
          <w:rFonts w:ascii="Times New Roman" w:eastAsia="Times New Roman" w:hAnsi="Times New Roman" w:cs="Times New Roman"/>
          <w:color w:val="000000" w:themeColor="text1"/>
          <w:sz w:val="24"/>
          <w:szCs w:val="24"/>
        </w:rPr>
        <w:lastRenderedPageBreak/>
        <w:t xml:space="preserve">La nota correspondiente a cada Unidad de Programación se obtendrá como media aritmética de las notas obtenidas en todas las competencias específicas trabajadas. </w:t>
      </w:r>
    </w:p>
    <w:p w14:paraId="2E2C6906" w14:textId="37818AD2" w:rsidR="0176EC7D" w:rsidRDefault="0176EC7D" w:rsidP="0B4EED3B">
      <w:pPr>
        <w:pStyle w:val="Normal1"/>
        <w:numPr>
          <w:ilvl w:val="0"/>
          <w:numId w:val="2"/>
        </w:numPr>
        <w:spacing w:line="360" w:lineRule="auto"/>
      </w:pPr>
      <w:r w:rsidRPr="0B4EED3B">
        <w:rPr>
          <w:rFonts w:ascii="Times New Roman" w:eastAsia="Times New Roman" w:hAnsi="Times New Roman" w:cs="Times New Roman"/>
          <w:color w:val="000000" w:themeColor="text1"/>
          <w:sz w:val="24"/>
          <w:szCs w:val="24"/>
        </w:rPr>
        <w:t xml:space="preserve">La nota que reflejará el boletín de notas trimestral será la media de las Unidades de Programación trabajadas durante el trimestre. </w:t>
      </w:r>
    </w:p>
    <w:p w14:paraId="230F97F7" w14:textId="295D7B4B" w:rsidR="0176EC7D" w:rsidRDefault="0176EC7D" w:rsidP="0B4EED3B">
      <w:pPr>
        <w:pStyle w:val="Normal1"/>
        <w:numPr>
          <w:ilvl w:val="0"/>
          <w:numId w:val="2"/>
        </w:numPr>
        <w:spacing w:line="360" w:lineRule="auto"/>
      </w:pPr>
      <w:r w:rsidRPr="0B4EED3B">
        <w:rPr>
          <w:rFonts w:ascii="Times New Roman" w:eastAsia="Times New Roman" w:hAnsi="Times New Roman" w:cs="Times New Roman"/>
          <w:color w:val="000000" w:themeColor="text1"/>
          <w:sz w:val="24"/>
          <w:szCs w:val="24"/>
        </w:rPr>
        <w:t>La nota final será la media de las Unidades de Programación trabajadas durante el curso.</w:t>
      </w:r>
    </w:p>
    <w:p w14:paraId="0C7A971F" w14:textId="27EEC4B4" w:rsidR="0197886A" w:rsidRDefault="0197886A" w:rsidP="0B4EED3B">
      <w:pPr>
        <w:pStyle w:val="Normal1"/>
        <w:numPr>
          <w:ilvl w:val="0"/>
          <w:numId w:val="2"/>
        </w:numPr>
        <w:spacing w:line="360" w:lineRule="auto"/>
        <w:rPr>
          <w:rFonts w:ascii="Times New Roman" w:eastAsia="Times New Roman" w:hAnsi="Times New Roman" w:cs="Times New Roman"/>
          <w:color w:val="000000" w:themeColor="text1"/>
          <w:sz w:val="24"/>
          <w:szCs w:val="24"/>
        </w:rPr>
      </w:pPr>
      <w:r w:rsidRPr="0B4EED3B">
        <w:rPr>
          <w:rFonts w:ascii="Times New Roman" w:eastAsia="Times New Roman" w:hAnsi="Times New Roman" w:cs="Times New Roman"/>
          <w:color w:val="000000" w:themeColor="text1"/>
          <w:sz w:val="24"/>
          <w:szCs w:val="24"/>
        </w:rPr>
        <w:t>En caso de que se produzcan faltas de asistencia, indistintamente de su causa, que imposibiliten la aplicación de los procedimientos e instrumentos de evaluación indicados arriba para un período de evaluación determinado se realizará una única prueba escrita para cada una de las Unidades de Programación en cuyo desarrollo se diera esta circunstancia. Esta prueba estará diseñada para valorar los criterios de evaluación que hayan sido trabajados a lo largo del trimestre, ponderados equitativamente tal y como se recoge en el procedimiento general de evaluación</w:t>
      </w:r>
    </w:p>
    <w:p w14:paraId="19840974" w14:textId="3AD84624" w:rsidR="0B4EED3B" w:rsidRDefault="0B4EED3B" w:rsidP="0B4EED3B"/>
    <w:sectPr w:rsidR="0B4EED3B" w:rsidSect="00611B7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E6348"/>
    <w:multiLevelType w:val="hybridMultilevel"/>
    <w:tmpl w:val="C1E6452E"/>
    <w:lvl w:ilvl="0" w:tplc="5BE6E2BE">
      <w:start w:val="1"/>
      <w:numFmt w:val="bullet"/>
      <w:lvlText w:val=""/>
      <w:lvlJc w:val="left"/>
      <w:pPr>
        <w:ind w:left="720" w:hanging="360"/>
      </w:pPr>
      <w:rPr>
        <w:rFonts w:ascii="Symbol" w:hAnsi="Symbol" w:hint="default"/>
      </w:rPr>
    </w:lvl>
    <w:lvl w:ilvl="1" w:tplc="4628F4F2">
      <w:start w:val="1"/>
      <w:numFmt w:val="bullet"/>
      <w:lvlText w:val="o"/>
      <w:lvlJc w:val="left"/>
      <w:pPr>
        <w:ind w:left="1440" w:hanging="360"/>
      </w:pPr>
      <w:rPr>
        <w:rFonts w:ascii="Courier New" w:hAnsi="Courier New" w:hint="default"/>
      </w:rPr>
    </w:lvl>
    <w:lvl w:ilvl="2" w:tplc="6F28BD66">
      <w:start w:val="1"/>
      <w:numFmt w:val="bullet"/>
      <w:lvlText w:val=""/>
      <w:lvlJc w:val="left"/>
      <w:pPr>
        <w:ind w:left="2160" w:hanging="360"/>
      </w:pPr>
      <w:rPr>
        <w:rFonts w:ascii="Wingdings" w:hAnsi="Wingdings" w:hint="default"/>
      </w:rPr>
    </w:lvl>
    <w:lvl w:ilvl="3" w:tplc="68B6AC9C">
      <w:start w:val="1"/>
      <w:numFmt w:val="bullet"/>
      <w:lvlText w:val=""/>
      <w:lvlJc w:val="left"/>
      <w:pPr>
        <w:ind w:left="2880" w:hanging="360"/>
      </w:pPr>
      <w:rPr>
        <w:rFonts w:ascii="Symbol" w:hAnsi="Symbol" w:hint="default"/>
      </w:rPr>
    </w:lvl>
    <w:lvl w:ilvl="4" w:tplc="85184960">
      <w:start w:val="1"/>
      <w:numFmt w:val="bullet"/>
      <w:lvlText w:val="o"/>
      <w:lvlJc w:val="left"/>
      <w:pPr>
        <w:ind w:left="3600" w:hanging="360"/>
      </w:pPr>
      <w:rPr>
        <w:rFonts w:ascii="Courier New" w:hAnsi="Courier New" w:hint="default"/>
      </w:rPr>
    </w:lvl>
    <w:lvl w:ilvl="5" w:tplc="6F907A1E">
      <w:start w:val="1"/>
      <w:numFmt w:val="bullet"/>
      <w:lvlText w:val=""/>
      <w:lvlJc w:val="left"/>
      <w:pPr>
        <w:ind w:left="4320" w:hanging="360"/>
      </w:pPr>
      <w:rPr>
        <w:rFonts w:ascii="Wingdings" w:hAnsi="Wingdings" w:hint="default"/>
      </w:rPr>
    </w:lvl>
    <w:lvl w:ilvl="6" w:tplc="33C0B838">
      <w:start w:val="1"/>
      <w:numFmt w:val="bullet"/>
      <w:lvlText w:val=""/>
      <w:lvlJc w:val="left"/>
      <w:pPr>
        <w:ind w:left="5040" w:hanging="360"/>
      </w:pPr>
      <w:rPr>
        <w:rFonts w:ascii="Symbol" w:hAnsi="Symbol" w:hint="default"/>
      </w:rPr>
    </w:lvl>
    <w:lvl w:ilvl="7" w:tplc="D51AF8C8">
      <w:start w:val="1"/>
      <w:numFmt w:val="bullet"/>
      <w:lvlText w:val="o"/>
      <w:lvlJc w:val="left"/>
      <w:pPr>
        <w:ind w:left="5760" w:hanging="360"/>
      </w:pPr>
      <w:rPr>
        <w:rFonts w:ascii="Courier New" w:hAnsi="Courier New" w:hint="default"/>
      </w:rPr>
    </w:lvl>
    <w:lvl w:ilvl="8" w:tplc="992A74D6">
      <w:start w:val="1"/>
      <w:numFmt w:val="bullet"/>
      <w:lvlText w:val=""/>
      <w:lvlJc w:val="left"/>
      <w:pPr>
        <w:ind w:left="6480" w:hanging="360"/>
      </w:pPr>
      <w:rPr>
        <w:rFonts w:ascii="Wingdings" w:hAnsi="Wingdings" w:hint="default"/>
      </w:rPr>
    </w:lvl>
  </w:abstractNum>
  <w:abstractNum w:abstractNumId="1" w15:restartNumberingAfterBreak="0">
    <w:nsid w:val="7FB17C24"/>
    <w:multiLevelType w:val="multilevel"/>
    <w:tmpl w:val="F732F348"/>
    <w:lvl w:ilvl="0">
      <w:start w:val="1"/>
      <w:numFmt w:val="decimal"/>
      <w:lvlText w:val="%1."/>
      <w:lvlJc w:val="left"/>
      <w:pPr>
        <w:ind w:left="720" w:hanging="360"/>
      </w:pPr>
    </w:lvl>
    <w:lvl w:ilvl="1">
      <w:start w:val="1"/>
      <w:numFmt w:val="decimal"/>
      <w:lvlText w:val="%1.%2"/>
      <w:lvlJc w:val="left"/>
      <w:pPr>
        <w:ind w:left="718"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4697071">
    <w:abstractNumId w:val="1"/>
  </w:num>
  <w:num w:numId="2" w16cid:durableId="8100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C"/>
    <w:rsid w:val="00001860"/>
    <w:rsid w:val="000B1F33"/>
    <w:rsid w:val="0013230D"/>
    <w:rsid w:val="00172DA8"/>
    <w:rsid w:val="00176A69"/>
    <w:rsid w:val="001C7CEB"/>
    <w:rsid w:val="001F1234"/>
    <w:rsid w:val="001F7A67"/>
    <w:rsid w:val="00222510"/>
    <w:rsid w:val="003254BE"/>
    <w:rsid w:val="003D53E0"/>
    <w:rsid w:val="003E133B"/>
    <w:rsid w:val="00433142"/>
    <w:rsid w:val="0044191C"/>
    <w:rsid w:val="00476D93"/>
    <w:rsid w:val="005606A9"/>
    <w:rsid w:val="0058095B"/>
    <w:rsid w:val="00583A4A"/>
    <w:rsid w:val="005931CA"/>
    <w:rsid w:val="005C670C"/>
    <w:rsid w:val="005C7C10"/>
    <w:rsid w:val="005D1E26"/>
    <w:rsid w:val="005F02AA"/>
    <w:rsid w:val="00611B7F"/>
    <w:rsid w:val="006258F4"/>
    <w:rsid w:val="00665846"/>
    <w:rsid w:val="006824C9"/>
    <w:rsid w:val="00685734"/>
    <w:rsid w:val="006A4FD7"/>
    <w:rsid w:val="006C7B96"/>
    <w:rsid w:val="006E3729"/>
    <w:rsid w:val="006E56DD"/>
    <w:rsid w:val="006F0E0D"/>
    <w:rsid w:val="0072042E"/>
    <w:rsid w:val="00757088"/>
    <w:rsid w:val="007717E1"/>
    <w:rsid w:val="00796909"/>
    <w:rsid w:val="007B39AD"/>
    <w:rsid w:val="00815DBE"/>
    <w:rsid w:val="00847E84"/>
    <w:rsid w:val="00896616"/>
    <w:rsid w:val="008D3E9C"/>
    <w:rsid w:val="008F27F6"/>
    <w:rsid w:val="009121D2"/>
    <w:rsid w:val="0094618C"/>
    <w:rsid w:val="00964021"/>
    <w:rsid w:val="009A214D"/>
    <w:rsid w:val="00A34DA7"/>
    <w:rsid w:val="00AC3E92"/>
    <w:rsid w:val="00AE1ECE"/>
    <w:rsid w:val="00B23CEC"/>
    <w:rsid w:val="00B344B9"/>
    <w:rsid w:val="00B54A9B"/>
    <w:rsid w:val="00B76C76"/>
    <w:rsid w:val="00B8423C"/>
    <w:rsid w:val="00B86683"/>
    <w:rsid w:val="00BA2E5B"/>
    <w:rsid w:val="00BD4068"/>
    <w:rsid w:val="00BE2E68"/>
    <w:rsid w:val="00C03B8A"/>
    <w:rsid w:val="00C12943"/>
    <w:rsid w:val="00CD53D5"/>
    <w:rsid w:val="00CD5611"/>
    <w:rsid w:val="00D11A7F"/>
    <w:rsid w:val="00D6695A"/>
    <w:rsid w:val="00DC547B"/>
    <w:rsid w:val="00E433BC"/>
    <w:rsid w:val="00E46635"/>
    <w:rsid w:val="00E92FD3"/>
    <w:rsid w:val="00EB75D8"/>
    <w:rsid w:val="00EC1010"/>
    <w:rsid w:val="00EE6C4D"/>
    <w:rsid w:val="00F302E4"/>
    <w:rsid w:val="0176EC7D"/>
    <w:rsid w:val="0197886A"/>
    <w:rsid w:val="05DB0EBE"/>
    <w:rsid w:val="08174C79"/>
    <w:rsid w:val="08A14803"/>
    <w:rsid w:val="0B4EED3B"/>
    <w:rsid w:val="0C6A5E87"/>
    <w:rsid w:val="0C6DE748"/>
    <w:rsid w:val="0D344C2F"/>
    <w:rsid w:val="0EBD7EEF"/>
    <w:rsid w:val="1358DDC8"/>
    <w:rsid w:val="13729D3B"/>
    <w:rsid w:val="15F81870"/>
    <w:rsid w:val="16300336"/>
    <w:rsid w:val="1A3D1E6B"/>
    <w:rsid w:val="1AAF9495"/>
    <w:rsid w:val="1ACDB4A2"/>
    <w:rsid w:val="1BDBFDA4"/>
    <w:rsid w:val="1CDAE1E8"/>
    <w:rsid w:val="1EC267E2"/>
    <w:rsid w:val="1F1EE76B"/>
    <w:rsid w:val="204599B2"/>
    <w:rsid w:val="205120B9"/>
    <w:rsid w:val="205A4D1C"/>
    <w:rsid w:val="2837833A"/>
    <w:rsid w:val="292E1594"/>
    <w:rsid w:val="2D6392B8"/>
    <w:rsid w:val="2DC44B49"/>
    <w:rsid w:val="3581EE18"/>
    <w:rsid w:val="36701589"/>
    <w:rsid w:val="3723993E"/>
    <w:rsid w:val="378A408B"/>
    <w:rsid w:val="38BF699F"/>
    <w:rsid w:val="3C8401F0"/>
    <w:rsid w:val="41AEA54D"/>
    <w:rsid w:val="41F74771"/>
    <w:rsid w:val="4C554B23"/>
    <w:rsid w:val="4E43AC00"/>
    <w:rsid w:val="509C3FD7"/>
    <w:rsid w:val="51FF1A29"/>
    <w:rsid w:val="53203B64"/>
    <w:rsid w:val="56399C74"/>
    <w:rsid w:val="563CF562"/>
    <w:rsid w:val="5686F052"/>
    <w:rsid w:val="5B19A4FC"/>
    <w:rsid w:val="600A2DFD"/>
    <w:rsid w:val="6170E491"/>
    <w:rsid w:val="681E8135"/>
    <w:rsid w:val="683330AD"/>
    <w:rsid w:val="68C99E49"/>
    <w:rsid w:val="6B77B748"/>
    <w:rsid w:val="6D496CA1"/>
    <w:rsid w:val="6F38FC4C"/>
    <w:rsid w:val="732AC642"/>
    <w:rsid w:val="74884AA4"/>
    <w:rsid w:val="77D8C689"/>
    <w:rsid w:val="78A9361C"/>
    <w:rsid w:val="7B2404C9"/>
    <w:rsid w:val="7BB93631"/>
    <w:rsid w:val="7DB39831"/>
    <w:rsid w:val="7E00663C"/>
    <w:rsid w:val="7E639325"/>
    <w:rsid w:val="7E8EBC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55FA"/>
  <w15:chartTrackingRefBased/>
  <w15:docId w15:val="{15966D0A-E304-4F02-A2B4-F9E89AF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68"/>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link w:val="Normal1Car"/>
    <w:uiPriority w:val="1"/>
    <w:rsid w:val="0B4EED3B"/>
    <w:pPr>
      <w:jc w:val="both"/>
    </w:pPr>
  </w:style>
  <w:style w:type="character" w:customStyle="1" w:styleId="Normal1Car">
    <w:name w:val="Normal1 Car"/>
    <w:basedOn w:val="Fuentedeprrafopredeter"/>
    <w:link w:val="Normal1"/>
    <w:uiPriority w:val="1"/>
    <w:rsid w:val="0B4EED3B"/>
  </w:style>
  <w:style w:type="character" w:customStyle="1" w:styleId="normaltextrun">
    <w:name w:val="normaltextrun"/>
    <w:basedOn w:val="Fuentedeprrafopredeter"/>
    <w:rsid w:val="56399C74"/>
  </w:style>
  <w:style w:type="character" w:customStyle="1" w:styleId="eop">
    <w:name w:val="eop"/>
    <w:basedOn w:val="Fuentedeprrafopredeter"/>
    <w:rsid w:val="56399C74"/>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3CCEAD16CCA64A84BBB826A6EED6A9" ma:contentTypeVersion="5" ma:contentTypeDescription="Crear nuevo documento." ma:contentTypeScope="" ma:versionID="129bb9443c94720d43450e1c2a3c199f">
  <xsd:schema xmlns:xsd="http://www.w3.org/2001/XMLSchema" xmlns:xs="http://www.w3.org/2001/XMLSchema" xmlns:p="http://schemas.microsoft.com/office/2006/metadata/properties" xmlns:ns2="d32fa80e-1f65-4b81-aed5-345e176b30e1" xmlns:ns3="7d9ac933-eba7-4bc5-b007-b200f349dc72" targetNamespace="http://schemas.microsoft.com/office/2006/metadata/properties" ma:root="true" ma:fieldsID="cac63f43daa4138f8bd7fa8e6bc8112f" ns2:_="" ns3:_="">
    <xsd:import namespace="d32fa80e-1f65-4b81-aed5-345e176b30e1"/>
    <xsd:import namespace="7d9ac933-eba7-4bc5-b007-b200f349dc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a80e-1f65-4b81-aed5-345e176b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ac933-eba7-4bc5-b007-b200f349dc7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9669-C3F6-4A4A-AC82-ECD4FD30FDE2}"/>
</file>

<file path=customXml/itemProps2.xml><?xml version="1.0" encoding="utf-8"?>
<ds:datastoreItem xmlns:ds="http://schemas.openxmlformats.org/officeDocument/2006/customXml" ds:itemID="{C5B49067-3D6C-43A8-BC4F-38E373D3665F}">
  <ds:schemaRefs>
    <ds:schemaRef ds:uri="http://schemas.microsoft.com/sharepoint/v3/contenttype/forms"/>
  </ds:schemaRefs>
</ds:datastoreItem>
</file>

<file path=customXml/itemProps3.xml><?xml version="1.0" encoding="utf-8"?>
<ds:datastoreItem xmlns:ds="http://schemas.openxmlformats.org/officeDocument/2006/customXml" ds:itemID="{8379ABF3-D3FF-41AA-B819-0506F6302087}">
  <ds:schemaRefs>
    <ds:schemaRef ds:uri="http://schemas.microsoft.com/office/2006/metadata/properties"/>
    <ds:schemaRef ds:uri="http://schemas.microsoft.com/office/infopath/2007/PartnerControls"/>
    <ds:schemaRef ds:uri="c9c826cd-acbe-4947-875e-fc2eab056ebe"/>
  </ds:schemaRefs>
</ds:datastoreItem>
</file>

<file path=customXml/itemProps4.xml><?xml version="1.0" encoding="utf-8"?>
<ds:datastoreItem xmlns:ds="http://schemas.openxmlformats.org/officeDocument/2006/customXml" ds:itemID="{56C6136E-A290-44C2-9ADE-03E99075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2021</Words>
  <Characters>11121</Characters>
  <Application>Microsoft Office Word</Application>
  <DocSecurity>0</DocSecurity>
  <Lines>92</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MENDEZ-NAVIA GOMEZ</dc:creator>
  <cp:keywords/>
  <dc:description/>
  <cp:lastModifiedBy>ROBERTO MENDEZ-NAVIA GOMEZ</cp:lastModifiedBy>
  <cp:revision>76</cp:revision>
  <dcterms:created xsi:type="dcterms:W3CDTF">2022-11-15T11:46:00Z</dcterms:created>
  <dcterms:modified xsi:type="dcterms:W3CDTF">2023-11-07T11:22:00Z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0x010100C33CCEAD16CCA64A84BBB826A6EED6A9</vt:lpwstr>
  </property>
</Properties>
</file>